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78" w:rsidRDefault="00C61C78" w:rsidP="00C61C78">
      <w:pPr>
        <w:rPr>
          <w:rFonts w:ascii="Georgia" w:hAnsi="Georgia"/>
          <w:sz w:val="22"/>
          <w:szCs w:val="22"/>
        </w:rPr>
      </w:pPr>
      <w:r>
        <w:rPr>
          <w:rFonts w:ascii="Georgia" w:hAnsi="Georgia"/>
          <w:b/>
          <w:sz w:val="22"/>
          <w:szCs w:val="22"/>
        </w:rPr>
        <w:t xml:space="preserve">Task 6—Summary Table of (1) individuals, (2) their contribution, and (3) the value or importance of the contribution.  </w:t>
      </w:r>
    </w:p>
    <w:p w:rsidR="00C61C78" w:rsidRDefault="00C61C78" w:rsidP="00C61C78">
      <w:pPr>
        <w:rPr>
          <w:rFonts w:ascii="Georgia" w:hAnsi="Georgia"/>
          <w:sz w:val="22"/>
          <w:szCs w:val="22"/>
        </w:rPr>
      </w:pPr>
    </w:p>
    <w:p w:rsidR="002D40C3" w:rsidRDefault="00C61C78" w:rsidP="00C61C78">
      <w:pPr>
        <w:rPr>
          <w:rFonts w:ascii="Georgia" w:hAnsi="Georgia"/>
          <w:b/>
          <w:sz w:val="22"/>
          <w:szCs w:val="22"/>
        </w:rPr>
      </w:pPr>
      <w:r w:rsidRPr="007B5FE9">
        <w:rPr>
          <w:rFonts w:ascii="Georgia" w:hAnsi="Georgia"/>
          <w:b/>
          <w:sz w:val="22"/>
          <w:szCs w:val="22"/>
        </w:rPr>
        <w:t>Introduction</w:t>
      </w:r>
    </w:p>
    <w:p w:rsidR="002D40C3" w:rsidRDefault="002D40C3" w:rsidP="00C61C78">
      <w:pPr>
        <w:rPr>
          <w:rFonts w:ascii="Georgia" w:hAnsi="Georgia"/>
          <w:b/>
          <w:sz w:val="22"/>
          <w:szCs w:val="22"/>
        </w:rPr>
      </w:pPr>
    </w:p>
    <w:p w:rsidR="00C61C78" w:rsidRDefault="00726B2A" w:rsidP="00C61C78">
      <w:pPr>
        <w:rPr>
          <w:rFonts w:ascii="Georgia" w:hAnsi="Georgia"/>
          <w:sz w:val="22"/>
          <w:szCs w:val="22"/>
        </w:rPr>
      </w:pPr>
      <w:r>
        <w:rPr>
          <w:rFonts w:ascii="Georgia" w:hAnsi="Georgia"/>
          <w:sz w:val="22"/>
          <w:szCs w:val="22"/>
        </w:rPr>
        <w:t>I choose the following individuals because their articles or research that I read helped contribute the most to my growth and learning in this course.  I hadn’t heard of several of them and were not familiar with their contributions to the field of education specifically or their beliefs and theories.</w:t>
      </w:r>
      <w:r w:rsidR="00ED17BC">
        <w:rPr>
          <w:rFonts w:ascii="Georgia" w:hAnsi="Georgia"/>
          <w:sz w:val="22"/>
          <w:szCs w:val="22"/>
        </w:rPr>
        <w:t xml:space="preserve">  Some are current educators that have published in the past decade and offered up ideas about the future of higher education in democracy.  Others, such as Dewey and Newman may have been dated readings but their theories are no less important or relevant in today’s society.  The importance of learning history is to see how we evolve in order to adapt to social change and growth.  Administrators, faculty and the governing bodies of higher education can use research by these individuals when creating rules, regulations and missions for our institutions today and in the future. </w:t>
      </w:r>
    </w:p>
    <w:p w:rsidR="0072199F" w:rsidRDefault="0072199F" w:rsidP="0072199F">
      <w:pPr>
        <w:rPr>
          <w:rFonts w:ascii="Georgia" w:hAnsi="Georgia"/>
          <w:sz w:val="22"/>
          <w:szCs w:val="22"/>
        </w:rPr>
      </w:pPr>
    </w:p>
    <w:p w:rsidR="0072199F" w:rsidRDefault="0072199F" w:rsidP="0072199F">
      <w:pPr>
        <w:rPr>
          <w:rFonts w:ascii="Georgia" w:hAnsi="Georgia"/>
          <w:sz w:val="22"/>
          <w:szCs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4336"/>
        <w:gridCol w:w="2573"/>
      </w:tblGrid>
      <w:tr w:rsidR="0077040F" w:rsidRPr="00500BB5" w:rsidTr="002A22C6">
        <w:trPr>
          <w:trHeight w:val="1008"/>
        </w:trPr>
        <w:tc>
          <w:tcPr>
            <w:tcW w:w="2642" w:type="dxa"/>
            <w:shd w:val="clear" w:color="auto" w:fill="D9D9D9"/>
          </w:tcPr>
          <w:p w:rsidR="0077040F" w:rsidRPr="00500BB5" w:rsidRDefault="0077040F" w:rsidP="00273FCD">
            <w:pPr>
              <w:jc w:val="center"/>
              <w:rPr>
                <w:rFonts w:ascii="Georgia" w:hAnsi="Georgia"/>
                <w:b/>
                <w:sz w:val="22"/>
                <w:szCs w:val="22"/>
              </w:rPr>
            </w:pPr>
            <w:r w:rsidRPr="00500BB5">
              <w:rPr>
                <w:rFonts w:ascii="Georgia" w:hAnsi="Georgia"/>
                <w:b/>
                <w:sz w:val="22"/>
                <w:szCs w:val="22"/>
              </w:rPr>
              <w:t>Individual</w:t>
            </w:r>
          </w:p>
        </w:tc>
        <w:tc>
          <w:tcPr>
            <w:tcW w:w="4336" w:type="dxa"/>
            <w:shd w:val="clear" w:color="auto" w:fill="D9D9D9"/>
          </w:tcPr>
          <w:p w:rsidR="0077040F" w:rsidRPr="00500BB5" w:rsidRDefault="0077040F" w:rsidP="00273FCD">
            <w:pPr>
              <w:jc w:val="center"/>
              <w:rPr>
                <w:rFonts w:ascii="Georgia" w:hAnsi="Georgia"/>
                <w:b/>
                <w:sz w:val="22"/>
                <w:szCs w:val="22"/>
              </w:rPr>
            </w:pPr>
            <w:r w:rsidRPr="00500BB5">
              <w:rPr>
                <w:rFonts w:ascii="Georgia" w:hAnsi="Georgia"/>
                <w:b/>
                <w:sz w:val="22"/>
                <w:szCs w:val="22"/>
              </w:rPr>
              <w:t>Theory, Research, Claim</w:t>
            </w:r>
          </w:p>
          <w:p w:rsidR="0077040F" w:rsidRPr="00500BB5" w:rsidRDefault="0077040F" w:rsidP="00273FCD">
            <w:pPr>
              <w:jc w:val="center"/>
              <w:rPr>
                <w:rFonts w:ascii="Georgia" w:hAnsi="Georgia"/>
                <w:b/>
                <w:sz w:val="18"/>
                <w:szCs w:val="18"/>
              </w:rPr>
            </w:pPr>
            <w:r w:rsidRPr="00500BB5">
              <w:rPr>
                <w:rFonts w:ascii="Georgia" w:hAnsi="Georgia"/>
                <w:b/>
                <w:sz w:val="18"/>
                <w:szCs w:val="18"/>
              </w:rPr>
              <w:t>[Identify what it is.]</w:t>
            </w:r>
          </w:p>
        </w:tc>
        <w:tc>
          <w:tcPr>
            <w:tcW w:w="2573" w:type="dxa"/>
            <w:shd w:val="clear" w:color="auto" w:fill="D9D9D9"/>
          </w:tcPr>
          <w:p w:rsidR="0077040F" w:rsidRPr="00500BB5" w:rsidRDefault="0077040F" w:rsidP="00273FCD">
            <w:pPr>
              <w:jc w:val="center"/>
              <w:rPr>
                <w:rFonts w:ascii="Georgia" w:hAnsi="Georgia"/>
                <w:b/>
                <w:sz w:val="22"/>
                <w:szCs w:val="22"/>
              </w:rPr>
            </w:pPr>
            <w:r w:rsidRPr="00500BB5">
              <w:rPr>
                <w:rFonts w:ascii="Georgia" w:hAnsi="Georgia"/>
                <w:b/>
                <w:sz w:val="22"/>
                <w:szCs w:val="22"/>
              </w:rPr>
              <w:t>Contribution</w:t>
            </w:r>
          </w:p>
        </w:tc>
      </w:tr>
      <w:tr w:rsidR="0077040F" w:rsidRPr="00500BB5" w:rsidTr="002A22C6">
        <w:trPr>
          <w:trHeight w:val="1415"/>
        </w:trPr>
        <w:tc>
          <w:tcPr>
            <w:tcW w:w="2642" w:type="dxa"/>
          </w:tcPr>
          <w:p w:rsidR="002A22C6" w:rsidRDefault="002A22C6" w:rsidP="00E375C5">
            <w:pPr>
              <w:jc w:val="center"/>
            </w:pPr>
            <w:r>
              <w:t>Mortimer Adler</w:t>
            </w:r>
          </w:p>
          <w:p w:rsidR="0077040F" w:rsidRDefault="0077040F" w:rsidP="00273FCD">
            <w:pPr>
              <w:rPr>
                <w:rFonts w:ascii="Georgia" w:hAnsi="Georgia"/>
                <w:sz w:val="22"/>
                <w:szCs w:val="22"/>
              </w:rPr>
            </w:pPr>
          </w:p>
          <w:p w:rsidR="0077040F" w:rsidRDefault="0077040F" w:rsidP="00273FCD">
            <w:pPr>
              <w:rPr>
                <w:rFonts w:ascii="Georgia" w:hAnsi="Georgia"/>
                <w:sz w:val="22"/>
                <w:szCs w:val="22"/>
              </w:rPr>
            </w:pPr>
          </w:p>
          <w:p w:rsidR="0077040F" w:rsidRPr="00500BB5" w:rsidRDefault="0077040F" w:rsidP="00273FCD">
            <w:pPr>
              <w:rPr>
                <w:rFonts w:ascii="Georgia" w:hAnsi="Georgia"/>
                <w:sz w:val="22"/>
                <w:szCs w:val="22"/>
              </w:rPr>
            </w:pPr>
          </w:p>
        </w:tc>
        <w:tc>
          <w:tcPr>
            <w:tcW w:w="4336" w:type="dxa"/>
          </w:tcPr>
          <w:p w:rsidR="0077040F" w:rsidRPr="00500BB5" w:rsidRDefault="00251CC5" w:rsidP="000304E3">
            <w:pPr>
              <w:widowControl/>
              <w:rPr>
                <w:rFonts w:ascii="Georgia" w:hAnsi="Georgia"/>
                <w:sz w:val="22"/>
                <w:szCs w:val="22"/>
              </w:rPr>
            </w:pPr>
            <w:r>
              <w:rPr>
                <w:iCs/>
                <w:snapToGrid/>
              </w:rPr>
              <w:t xml:space="preserve">American philosopher who believed that classic works belonged in public schools, college and </w:t>
            </w:r>
            <w:r w:rsidR="002A4A4B">
              <w:rPr>
                <w:iCs/>
                <w:snapToGrid/>
              </w:rPr>
              <w:t>universities’ curriculum</w:t>
            </w:r>
            <w:r w:rsidR="000304E3">
              <w:rPr>
                <w:iCs/>
                <w:snapToGrid/>
              </w:rPr>
              <w:t>.</w:t>
            </w:r>
          </w:p>
        </w:tc>
        <w:tc>
          <w:tcPr>
            <w:tcW w:w="2573" w:type="dxa"/>
          </w:tcPr>
          <w:p w:rsidR="00BE7B77" w:rsidRDefault="00251CC5" w:rsidP="00BE7B77">
            <w:pPr>
              <w:pStyle w:val="ListParagraph"/>
              <w:numPr>
                <w:ilvl w:val="0"/>
                <w:numId w:val="1"/>
              </w:numPr>
              <w:rPr>
                <w:rFonts w:ascii="Georgia" w:hAnsi="Georgia"/>
                <w:sz w:val="22"/>
                <w:szCs w:val="22"/>
              </w:rPr>
            </w:pPr>
            <w:r w:rsidRPr="00BE7B77">
              <w:rPr>
                <w:rFonts w:ascii="Georgia" w:hAnsi="Georgia"/>
                <w:sz w:val="22"/>
                <w:szCs w:val="22"/>
              </w:rPr>
              <w:t xml:space="preserve">Radical ideas about enlightenment and education of well-rounded individuals. </w:t>
            </w:r>
          </w:p>
          <w:p w:rsidR="0077040F" w:rsidRDefault="00251CC5" w:rsidP="00BE7B77">
            <w:pPr>
              <w:pStyle w:val="ListParagraph"/>
              <w:numPr>
                <w:ilvl w:val="0"/>
                <w:numId w:val="1"/>
              </w:numPr>
              <w:rPr>
                <w:rFonts w:ascii="Georgia" w:hAnsi="Georgia"/>
                <w:sz w:val="22"/>
                <w:szCs w:val="22"/>
              </w:rPr>
            </w:pPr>
            <w:r w:rsidRPr="00BE7B77">
              <w:rPr>
                <w:rFonts w:ascii="Georgia" w:hAnsi="Georgia"/>
                <w:sz w:val="22"/>
                <w:szCs w:val="22"/>
              </w:rPr>
              <w:t xml:space="preserve"> Encouraged debate about learning and values.</w:t>
            </w:r>
          </w:p>
          <w:p w:rsidR="00D94190" w:rsidRPr="00D94190" w:rsidRDefault="001F26FE" w:rsidP="00D94190">
            <w:pPr>
              <w:pStyle w:val="ListParagraph"/>
              <w:numPr>
                <w:ilvl w:val="0"/>
                <w:numId w:val="1"/>
              </w:numPr>
              <w:rPr>
                <w:rFonts w:ascii="Georgia" w:hAnsi="Georgia"/>
                <w:sz w:val="22"/>
                <w:szCs w:val="22"/>
              </w:rPr>
            </w:pPr>
            <w:r>
              <w:t xml:space="preserve">Opposed Dewey's focus on experimentation and the free selection of values </w:t>
            </w:r>
          </w:p>
          <w:p w:rsidR="00D94190" w:rsidRPr="00D94190" w:rsidRDefault="00D94190" w:rsidP="00D94190">
            <w:pPr>
              <w:pStyle w:val="ListParagraph"/>
              <w:numPr>
                <w:ilvl w:val="0"/>
                <w:numId w:val="1"/>
              </w:numPr>
              <w:rPr>
                <w:rFonts w:ascii="Georgia" w:hAnsi="Georgia"/>
                <w:sz w:val="22"/>
                <w:szCs w:val="22"/>
              </w:rPr>
            </w:pPr>
            <w:r>
              <w:t>P</w:t>
            </w:r>
            <w:r w:rsidR="001F26FE">
              <w:t>ublished articles and books charging that such a belief system produced poorly prepared thinkers and social unrest.</w:t>
            </w:r>
          </w:p>
          <w:p w:rsidR="001F26FE" w:rsidRPr="00BE7B77" w:rsidRDefault="001F26FE" w:rsidP="00D94190">
            <w:pPr>
              <w:pStyle w:val="ListParagraph"/>
              <w:numPr>
                <w:ilvl w:val="0"/>
                <w:numId w:val="1"/>
              </w:numPr>
              <w:rPr>
                <w:rFonts w:ascii="Georgia" w:hAnsi="Georgia"/>
                <w:sz w:val="22"/>
                <w:szCs w:val="22"/>
              </w:rPr>
            </w:pPr>
            <w:r>
              <w:t xml:space="preserve">His most famous </w:t>
            </w:r>
            <w:r w:rsidR="00D94190">
              <w:t>work was,</w:t>
            </w:r>
            <w:r>
              <w:t xml:space="preserve"> </w:t>
            </w:r>
            <w:r>
              <w:rPr>
                <w:i/>
                <w:iCs/>
              </w:rPr>
              <w:t xml:space="preserve">How </w:t>
            </w:r>
            <w:r>
              <w:rPr>
                <w:i/>
                <w:iCs/>
              </w:rPr>
              <w:lastRenderedPageBreak/>
              <w:t>to Read a Book: The Art of Getting a Liberal Education</w:t>
            </w:r>
            <w:r>
              <w:t xml:space="preserve"> </w:t>
            </w:r>
          </w:p>
        </w:tc>
      </w:tr>
      <w:tr w:rsidR="002A22C6" w:rsidRPr="00500BB5" w:rsidTr="002A22C6">
        <w:trPr>
          <w:trHeight w:val="1415"/>
        </w:trPr>
        <w:tc>
          <w:tcPr>
            <w:tcW w:w="2642" w:type="dxa"/>
          </w:tcPr>
          <w:p w:rsidR="002A22C6" w:rsidRDefault="002A22C6" w:rsidP="00E375C5">
            <w:pPr>
              <w:jc w:val="center"/>
            </w:pPr>
            <w:r>
              <w:lastRenderedPageBreak/>
              <w:t>Dr. Arthur Cohen</w:t>
            </w:r>
          </w:p>
          <w:p w:rsidR="002A22C6" w:rsidRDefault="002A22C6" w:rsidP="002A22C6">
            <w:pPr>
              <w:rPr>
                <w:rFonts w:ascii="Georgia" w:hAnsi="Georgia"/>
                <w:sz w:val="22"/>
                <w:szCs w:val="22"/>
              </w:rPr>
            </w:pPr>
          </w:p>
        </w:tc>
        <w:tc>
          <w:tcPr>
            <w:tcW w:w="4336" w:type="dxa"/>
          </w:tcPr>
          <w:p w:rsidR="000304E3" w:rsidRPr="000304E3" w:rsidRDefault="000304E3" w:rsidP="000304E3">
            <w:pPr>
              <w:pStyle w:val="NormalWeb"/>
              <w:rPr>
                <w:rFonts w:ascii="Times New Roman" w:hAnsi="Times New Roman"/>
                <w:sz w:val="24"/>
                <w:szCs w:val="24"/>
              </w:rPr>
            </w:pPr>
            <w:r w:rsidRPr="000304E3">
              <w:rPr>
                <w:rFonts w:ascii="Times New Roman" w:hAnsi="Times New Roman"/>
                <w:sz w:val="24"/>
                <w:szCs w:val="24"/>
              </w:rPr>
              <w:t>Focus on analyzing the ideas and data pertaining to the community college. History of higher education and the role and functioning of American Community Colleges.</w:t>
            </w:r>
          </w:p>
          <w:p w:rsidR="002A22C6" w:rsidRDefault="002A22C6" w:rsidP="00273FCD">
            <w:pPr>
              <w:rPr>
                <w:rFonts w:ascii="Georgia" w:hAnsi="Georgia"/>
                <w:sz w:val="22"/>
                <w:szCs w:val="22"/>
              </w:rPr>
            </w:pPr>
          </w:p>
        </w:tc>
        <w:tc>
          <w:tcPr>
            <w:tcW w:w="2573" w:type="dxa"/>
          </w:tcPr>
          <w:p w:rsidR="000B6F6C" w:rsidRPr="000B6F6C" w:rsidRDefault="000B6F6C" w:rsidP="000B6F6C">
            <w:pPr>
              <w:pStyle w:val="ListParagraph"/>
              <w:numPr>
                <w:ilvl w:val="0"/>
                <w:numId w:val="5"/>
              </w:numPr>
              <w:rPr>
                <w:sz w:val="22"/>
                <w:szCs w:val="22"/>
              </w:rPr>
            </w:pPr>
            <w:r>
              <w:t>Works</w:t>
            </w:r>
            <w:r w:rsidR="00F728BE" w:rsidRPr="00F728BE">
              <w:t xml:space="preserve"> with spouse and colleague Florence B. Brawer, </w:t>
            </w:r>
            <w:r>
              <w:t xml:space="preserve">and </w:t>
            </w:r>
            <w:r w:rsidR="00F728BE" w:rsidRPr="00F728BE">
              <w:t>established and led the ERIC Clearinghouse for Community Colleges from 1966 through 2003;</w:t>
            </w:r>
          </w:p>
          <w:p w:rsidR="002A22C6" w:rsidRPr="00F728BE" w:rsidRDefault="000B6F6C" w:rsidP="00066AAB">
            <w:pPr>
              <w:pStyle w:val="ListParagraph"/>
              <w:numPr>
                <w:ilvl w:val="0"/>
                <w:numId w:val="5"/>
              </w:numPr>
              <w:rPr>
                <w:sz w:val="22"/>
                <w:szCs w:val="22"/>
              </w:rPr>
            </w:pPr>
            <w:r>
              <w:t>F</w:t>
            </w:r>
            <w:r w:rsidR="00F728BE" w:rsidRPr="00F728BE">
              <w:t xml:space="preserve">ounded the New Directions for Community Colleges series; conducted groundbreaking research through the Center for the Study of Community Colleges; and authored key works, including </w:t>
            </w:r>
            <w:r w:rsidR="00F728BE" w:rsidRPr="00066AAB">
              <w:rPr>
                <w:u w:val="single"/>
              </w:rPr>
              <w:t>The American Community College</w:t>
            </w:r>
            <w:r w:rsidR="00066AAB">
              <w:t>.</w:t>
            </w:r>
          </w:p>
        </w:tc>
      </w:tr>
      <w:tr w:rsidR="002A22C6" w:rsidRPr="002B5165" w:rsidTr="002A22C6">
        <w:trPr>
          <w:trHeight w:val="1415"/>
        </w:trPr>
        <w:tc>
          <w:tcPr>
            <w:tcW w:w="2642" w:type="dxa"/>
          </w:tcPr>
          <w:p w:rsidR="002A22C6" w:rsidRPr="002B5165" w:rsidRDefault="002A22C6" w:rsidP="00E375C5">
            <w:pPr>
              <w:jc w:val="center"/>
            </w:pPr>
            <w:r w:rsidRPr="002B5165">
              <w:t>John Dewey</w:t>
            </w:r>
          </w:p>
          <w:p w:rsidR="002A22C6" w:rsidRPr="002B5165" w:rsidRDefault="002A22C6" w:rsidP="002A22C6"/>
        </w:tc>
        <w:tc>
          <w:tcPr>
            <w:tcW w:w="4336" w:type="dxa"/>
          </w:tcPr>
          <w:p w:rsidR="002A22C6" w:rsidRPr="002B5165" w:rsidRDefault="00083155" w:rsidP="002A4A4B">
            <w:r>
              <w:t>Writer and philosopher who believed in s</w:t>
            </w:r>
            <w:r w:rsidR="00E61AF3" w:rsidRPr="002B5165">
              <w:t xml:space="preserve">ocial leaning, </w:t>
            </w:r>
            <w:r>
              <w:t xml:space="preserve">democracy and </w:t>
            </w:r>
            <w:r w:rsidR="00E61AF3" w:rsidRPr="002B5165">
              <w:t>community</w:t>
            </w:r>
            <w:r w:rsidR="001D1BDA" w:rsidRPr="002B5165">
              <w:t xml:space="preserve"> His works include </w:t>
            </w:r>
            <w:r w:rsidR="001D1BDA" w:rsidRPr="002B5165">
              <w:rPr>
                <w:i/>
                <w:iCs/>
              </w:rPr>
              <w:t>Democracy and Education</w:t>
            </w:r>
            <w:r w:rsidR="001D1BDA" w:rsidRPr="002B5165">
              <w:t xml:space="preserve"> (1916)</w:t>
            </w:r>
            <w:r w:rsidR="007E73E4" w:rsidRPr="002B5165">
              <w:t xml:space="preserve">, </w:t>
            </w:r>
            <w:r w:rsidR="007E73E4">
              <w:t>and</w:t>
            </w:r>
            <w:r w:rsidR="002A4A4B">
              <w:t xml:space="preserve"> </w:t>
            </w:r>
            <w:r w:rsidR="001D1BDA" w:rsidRPr="002B5165">
              <w:rPr>
                <w:i/>
                <w:iCs/>
              </w:rPr>
              <w:t>Art as Experience</w:t>
            </w:r>
            <w:r w:rsidR="001D1BDA" w:rsidRPr="002B5165">
              <w:t xml:space="preserve"> (1934</w:t>
            </w:r>
            <w:r w:rsidR="007E73E4" w:rsidRPr="002B5165">
              <w:t>).</w:t>
            </w:r>
          </w:p>
        </w:tc>
        <w:tc>
          <w:tcPr>
            <w:tcW w:w="2573" w:type="dxa"/>
          </w:tcPr>
          <w:p w:rsidR="002A4A4B" w:rsidRPr="002A4A4B" w:rsidRDefault="00083155" w:rsidP="00083155">
            <w:pPr>
              <w:pStyle w:val="ListParagraph"/>
              <w:widowControl/>
              <w:numPr>
                <w:ilvl w:val="0"/>
                <w:numId w:val="2"/>
              </w:numPr>
              <w:rPr>
                <w:snapToGrid/>
              </w:rPr>
            </w:pPr>
            <w:r>
              <w:rPr>
                <w:iCs/>
                <w:snapToGrid/>
              </w:rPr>
              <w:t xml:space="preserve">Strong promoter of instrumentalism and radical reform of the public education system. </w:t>
            </w:r>
          </w:p>
          <w:p w:rsidR="002A4A4B" w:rsidRPr="002A4A4B" w:rsidRDefault="001D1BDA" w:rsidP="002A4A4B">
            <w:pPr>
              <w:pStyle w:val="ListParagraph"/>
              <w:widowControl/>
              <w:numPr>
                <w:ilvl w:val="0"/>
                <w:numId w:val="2"/>
              </w:numPr>
              <w:rPr>
                <w:snapToGrid/>
              </w:rPr>
            </w:pPr>
            <w:r w:rsidRPr="002A4A4B">
              <w:rPr>
                <w:iCs/>
                <w:snapToGrid/>
              </w:rPr>
              <w:t xml:space="preserve">America's most famous exponent of a pragmatic philosophy that celebrated the </w:t>
            </w:r>
            <w:r w:rsidRPr="002A4A4B">
              <w:rPr>
                <w:iCs/>
                <w:snapToGrid/>
              </w:rPr>
              <w:lastRenderedPageBreak/>
              <w:t>traditional values of democracy and the efficacy of reason and universal education.</w:t>
            </w:r>
          </w:p>
          <w:p w:rsidR="001D1BDA" w:rsidRDefault="001D1BDA" w:rsidP="002A4A4B">
            <w:pPr>
              <w:pStyle w:val="ListParagraph"/>
              <w:widowControl/>
              <w:numPr>
                <w:ilvl w:val="0"/>
                <w:numId w:val="2"/>
              </w:numPr>
              <w:rPr>
                <w:snapToGrid/>
              </w:rPr>
            </w:pPr>
            <w:r w:rsidRPr="002A4A4B">
              <w:rPr>
                <w:snapToGrid/>
              </w:rPr>
              <w:t>Dewey believed that universal education could train men to break through habit into creative thought.</w:t>
            </w:r>
          </w:p>
          <w:p w:rsidR="002A22C6" w:rsidRPr="002B5165" w:rsidRDefault="002A4A4B" w:rsidP="002A4A4B">
            <w:pPr>
              <w:pStyle w:val="ListParagraph"/>
              <w:widowControl/>
              <w:numPr>
                <w:ilvl w:val="0"/>
                <w:numId w:val="2"/>
              </w:numPr>
              <w:spacing w:before="100" w:beforeAutospacing="1" w:after="100" w:afterAutospacing="1"/>
            </w:pPr>
            <w:r w:rsidRPr="002A4A4B">
              <w:rPr>
                <w:snapToGrid/>
              </w:rPr>
              <w:t xml:space="preserve">Believed </w:t>
            </w:r>
            <w:r w:rsidR="001D1BDA" w:rsidRPr="001D1BDA">
              <w:rPr>
                <w:snapToGrid/>
              </w:rPr>
              <w:t xml:space="preserve">that democracy was the best form of government. </w:t>
            </w:r>
          </w:p>
        </w:tc>
      </w:tr>
      <w:tr w:rsidR="002A22C6" w:rsidRPr="002B5165" w:rsidTr="002A22C6">
        <w:trPr>
          <w:trHeight w:val="1415"/>
        </w:trPr>
        <w:tc>
          <w:tcPr>
            <w:tcW w:w="2642" w:type="dxa"/>
          </w:tcPr>
          <w:p w:rsidR="002A22C6" w:rsidRPr="002B5165" w:rsidRDefault="002A22C6" w:rsidP="00E375C5">
            <w:pPr>
              <w:jc w:val="center"/>
            </w:pPr>
            <w:r w:rsidRPr="002B5165">
              <w:lastRenderedPageBreak/>
              <w:t>John Henry Cardinal Newman</w:t>
            </w:r>
          </w:p>
        </w:tc>
        <w:tc>
          <w:tcPr>
            <w:tcW w:w="4336" w:type="dxa"/>
          </w:tcPr>
          <w:p w:rsidR="002A22C6" w:rsidRPr="007F00BC" w:rsidRDefault="00621CF6" w:rsidP="001E3DF9">
            <w:pPr>
              <w:rPr>
                <w:highlight w:val="yellow"/>
              </w:rPr>
            </w:pPr>
            <w:r>
              <w:t>B</w:t>
            </w:r>
            <w:r w:rsidR="0020190D" w:rsidRPr="00B44C7D">
              <w:t xml:space="preserve">egan his career as an </w:t>
            </w:r>
            <w:r>
              <w:t xml:space="preserve">Anglican </w:t>
            </w:r>
            <w:r w:rsidR="0020190D" w:rsidRPr="00B44C7D">
              <w:t>churchman and scholar.</w:t>
            </w:r>
            <w:r w:rsidR="0020190D" w:rsidRPr="00B44C7D">
              <w:rPr>
                <w:sz w:val="21"/>
                <w:szCs w:val="21"/>
              </w:rPr>
              <w:t xml:space="preserve"> </w:t>
            </w:r>
            <w:r w:rsidR="001E3DF9">
              <w:rPr>
                <w:sz w:val="21"/>
                <w:szCs w:val="21"/>
              </w:rPr>
              <w:t>H</w:t>
            </w:r>
            <w:r w:rsidR="001E3DF9" w:rsidRPr="00B44C7D">
              <w:t xml:space="preserve">igh point of  Anglican career was his influential role in the </w:t>
            </w:r>
            <w:r w:rsidR="001E3DF9">
              <w:t>Oxford Movement,</w:t>
            </w:r>
          </w:p>
        </w:tc>
        <w:tc>
          <w:tcPr>
            <w:tcW w:w="2573" w:type="dxa"/>
          </w:tcPr>
          <w:p w:rsidR="002A22C6" w:rsidRPr="002B5165" w:rsidRDefault="001E3DF9" w:rsidP="001E3DF9">
            <w:pPr>
              <w:pStyle w:val="ListParagraph"/>
              <w:numPr>
                <w:ilvl w:val="0"/>
                <w:numId w:val="10"/>
              </w:numPr>
            </w:pPr>
            <w:r>
              <w:t xml:space="preserve">Oxford </w:t>
            </w:r>
            <w:r w:rsidR="007E73E4">
              <w:t>movement</w:t>
            </w:r>
            <w:r>
              <w:t xml:space="preserve"> was </w:t>
            </w:r>
            <w:r w:rsidRPr="00B44C7D">
              <w:t>High Church effort to return to the foundations of the faith--the sacraments, Episcopal governance, and apostolic succession--and to affirm the Church's status as the middle ground between Roman Catholicism</w:t>
            </w:r>
            <w:r>
              <w:t xml:space="preserve">’s </w:t>
            </w:r>
            <w:r w:rsidRPr="00B44C7D">
              <w:t xml:space="preserve">claims to authority and the Dissenters' emphasis upon spiritual liberty and private judgment.  </w:t>
            </w:r>
          </w:p>
        </w:tc>
      </w:tr>
      <w:tr w:rsidR="002A22C6" w:rsidRPr="002B5165" w:rsidTr="002A22C6">
        <w:trPr>
          <w:trHeight w:val="1415"/>
        </w:trPr>
        <w:tc>
          <w:tcPr>
            <w:tcW w:w="2642" w:type="dxa"/>
          </w:tcPr>
          <w:p w:rsidR="002A22C6" w:rsidRPr="002B5165" w:rsidRDefault="002A22C6" w:rsidP="00E375C5">
            <w:pPr>
              <w:jc w:val="center"/>
            </w:pPr>
            <w:r w:rsidRPr="002B5165">
              <w:lastRenderedPageBreak/>
              <w:t>Clark Kerr</w:t>
            </w:r>
          </w:p>
        </w:tc>
        <w:tc>
          <w:tcPr>
            <w:tcW w:w="4336" w:type="dxa"/>
          </w:tcPr>
          <w:p w:rsidR="002A22C6" w:rsidRPr="00D3439F" w:rsidRDefault="00D3439F" w:rsidP="00D3439F">
            <w:r>
              <w:rPr>
                <w:iCs/>
              </w:rPr>
              <w:t>E</w:t>
            </w:r>
            <w:r w:rsidRPr="00D3439F">
              <w:rPr>
                <w:iCs/>
              </w:rPr>
              <w:t xml:space="preserve">conomist and labor/ management expert who served as president of the multi-campus University of California from 1952 to 1967, a period of rapid growth and expansion. </w:t>
            </w:r>
            <w:r>
              <w:rPr>
                <w:iCs/>
              </w:rPr>
              <w:t>C</w:t>
            </w:r>
            <w:r w:rsidRPr="00D3439F">
              <w:rPr>
                <w:iCs/>
              </w:rPr>
              <w:t>oncerned about the role of the university in society and created a master plan for coordinating the programs of all of the state's colleges and universities.</w:t>
            </w:r>
          </w:p>
        </w:tc>
        <w:tc>
          <w:tcPr>
            <w:tcW w:w="2573" w:type="dxa"/>
          </w:tcPr>
          <w:p w:rsidR="000B3AC2" w:rsidRDefault="000B3AC2" w:rsidP="000B3AC2">
            <w:pPr>
              <w:pStyle w:val="ListParagraph"/>
              <w:numPr>
                <w:ilvl w:val="0"/>
                <w:numId w:val="3"/>
              </w:numPr>
            </w:pPr>
            <w:r>
              <w:t xml:space="preserve">He was a professor of industrial relations at Berkeley from 1945 until 1952 when he was named chancellor. </w:t>
            </w:r>
          </w:p>
          <w:p w:rsidR="000B3AC2" w:rsidRDefault="000B3AC2" w:rsidP="000B3AC2">
            <w:pPr>
              <w:pStyle w:val="ListParagraph"/>
              <w:numPr>
                <w:ilvl w:val="0"/>
                <w:numId w:val="3"/>
              </w:numPr>
            </w:pPr>
            <w:r>
              <w:t>In 1958 he became president of the Univ. of California, building its prestigious system until 1967</w:t>
            </w:r>
          </w:p>
          <w:p w:rsidR="000B3AC2" w:rsidRDefault="000B3AC2" w:rsidP="000B3AC2">
            <w:pPr>
              <w:pStyle w:val="ListParagraph"/>
              <w:numPr>
                <w:ilvl w:val="0"/>
                <w:numId w:val="3"/>
              </w:numPr>
            </w:pPr>
            <w:r>
              <w:t xml:space="preserve"> He became director of the Carnegie Commission on Higher Education, which called for a “bill of educational rights,” and author of its report </w:t>
            </w:r>
            <w:r w:rsidRPr="000B3AC2">
              <w:rPr>
                <w:i/>
                <w:iCs/>
              </w:rPr>
              <w:t>Three Thousand Futures</w:t>
            </w:r>
            <w:r>
              <w:t xml:space="preserve"> (1970). </w:t>
            </w:r>
          </w:p>
          <w:p w:rsidR="002A22C6" w:rsidRPr="002B5165" w:rsidRDefault="000B3AC2" w:rsidP="000B3AC2">
            <w:pPr>
              <w:pStyle w:val="ListParagraph"/>
              <w:numPr>
                <w:ilvl w:val="0"/>
                <w:numId w:val="3"/>
              </w:numPr>
            </w:pPr>
            <w:r>
              <w:t xml:space="preserve">His writings include </w:t>
            </w:r>
            <w:r w:rsidRPr="000B3AC2">
              <w:rPr>
                <w:i/>
                <w:iCs/>
              </w:rPr>
              <w:t>The Uses of the University</w:t>
            </w:r>
            <w:r>
              <w:t xml:space="preserve"> (1972) and </w:t>
            </w:r>
            <w:r w:rsidRPr="000B3AC2">
              <w:rPr>
                <w:i/>
                <w:iCs/>
              </w:rPr>
              <w:t>The Future of Industrial Societies</w:t>
            </w:r>
            <w:r>
              <w:t xml:space="preserve"> (1983).</w:t>
            </w:r>
          </w:p>
        </w:tc>
      </w:tr>
      <w:tr w:rsidR="0077040F" w:rsidRPr="002B5165" w:rsidTr="002A22C6">
        <w:trPr>
          <w:trHeight w:val="1448"/>
        </w:trPr>
        <w:tc>
          <w:tcPr>
            <w:tcW w:w="2642" w:type="dxa"/>
          </w:tcPr>
          <w:p w:rsidR="0077040F" w:rsidRPr="002B5165" w:rsidRDefault="0077040F" w:rsidP="00E375C5">
            <w:pPr>
              <w:jc w:val="center"/>
            </w:pPr>
            <w:r w:rsidRPr="002B5165">
              <w:t>Dr. Mark Taylor</w:t>
            </w:r>
          </w:p>
          <w:p w:rsidR="0077040F" w:rsidRPr="002B5165" w:rsidRDefault="0077040F" w:rsidP="00273FCD"/>
          <w:p w:rsidR="0077040F" w:rsidRPr="002B5165" w:rsidRDefault="0077040F" w:rsidP="00273FCD"/>
          <w:p w:rsidR="0077040F" w:rsidRPr="002B5165" w:rsidRDefault="0077040F" w:rsidP="00273FCD"/>
          <w:p w:rsidR="0077040F" w:rsidRPr="002B5165" w:rsidRDefault="0077040F" w:rsidP="00273FCD"/>
        </w:tc>
        <w:tc>
          <w:tcPr>
            <w:tcW w:w="4336" w:type="dxa"/>
          </w:tcPr>
          <w:p w:rsidR="00B44C7D" w:rsidRPr="00B44C7D" w:rsidRDefault="00527F08" w:rsidP="00B44C7D">
            <w:pPr>
              <w:widowControl/>
              <w:rPr>
                <w:snapToGrid/>
              </w:rPr>
            </w:pPr>
            <w:r>
              <w:rPr>
                <w:snapToGrid/>
                <w:color w:val="262626"/>
              </w:rPr>
              <w:t>N</w:t>
            </w:r>
            <w:r w:rsidR="00B44C7D" w:rsidRPr="00B44C7D">
              <w:rPr>
                <w:snapToGrid/>
                <w:color w:val="262626"/>
              </w:rPr>
              <w:t xml:space="preserve">nationally recognized educator, expert, speaker and consultant </w:t>
            </w:r>
            <w:r w:rsidR="00B44C7D">
              <w:rPr>
                <w:snapToGrid/>
                <w:color w:val="262626"/>
              </w:rPr>
              <w:t>that helps</w:t>
            </w:r>
            <w:r w:rsidR="00B44C7D" w:rsidRPr="00B44C7D">
              <w:rPr>
                <w:snapToGrid/>
                <w:color w:val="262626"/>
              </w:rPr>
              <w:t xml:space="preserve"> colleges and universities understand and serve students</w:t>
            </w:r>
            <w:r w:rsidR="00B44C7D">
              <w:rPr>
                <w:snapToGrid/>
                <w:color w:val="262626"/>
              </w:rPr>
              <w:t>.</w:t>
            </w:r>
          </w:p>
          <w:p w:rsidR="00527F08" w:rsidRDefault="00B44C7D" w:rsidP="00B44C7D">
            <w:pPr>
              <w:widowControl/>
              <w:rPr>
                <w:snapToGrid/>
                <w:color w:val="262626"/>
              </w:rPr>
            </w:pPr>
            <w:r w:rsidRPr="00B44C7D">
              <w:rPr>
                <w:snapToGrid/>
                <w:color w:val="262626"/>
              </w:rPr>
              <w:br/>
            </w:r>
          </w:p>
          <w:p w:rsidR="0077040F" w:rsidRPr="002B5165" w:rsidRDefault="00527F08" w:rsidP="00B44C7D">
            <w:pPr>
              <w:widowControl/>
            </w:pPr>
            <w:r>
              <w:rPr>
                <w:snapToGrid/>
                <w:color w:val="262626"/>
              </w:rPr>
              <w:lastRenderedPageBreak/>
              <w:t>H</w:t>
            </w:r>
            <w:r w:rsidR="00B44C7D" w:rsidRPr="00B44C7D">
              <w:rPr>
                <w:snapToGrid/>
                <w:color w:val="262626"/>
              </w:rPr>
              <w:t>olds a Bachelors degree in Psychology and Biology, a Masters degree in Social Wor</w:t>
            </w:r>
            <w:r w:rsidR="00B44C7D">
              <w:rPr>
                <w:snapToGrid/>
                <w:color w:val="262626"/>
              </w:rPr>
              <w:t>k and a Doctorate in Counseling.</w:t>
            </w:r>
            <w:r w:rsidR="00B44C7D" w:rsidRPr="00B44C7D">
              <w:rPr>
                <w:snapToGrid/>
                <w:color w:val="262626"/>
              </w:rPr>
              <w:t xml:space="preserve"> </w:t>
            </w:r>
          </w:p>
        </w:tc>
        <w:tc>
          <w:tcPr>
            <w:tcW w:w="2573" w:type="dxa"/>
          </w:tcPr>
          <w:p w:rsidR="00B44C7D" w:rsidRDefault="00B44C7D" w:rsidP="00B44C7D">
            <w:pPr>
              <w:pStyle w:val="ListParagraph"/>
              <w:widowControl/>
              <w:numPr>
                <w:ilvl w:val="0"/>
                <w:numId w:val="9"/>
              </w:numPr>
              <w:rPr>
                <w:snapToGrid/>
              </w:rPr>
            </w:pPr>
            <w:r>
              <w:rPr>
                <w:snapToGrid/>
              </w:rPr>
              <w:lastRenderedPageBreak/>
              <w:t>O</w:t>
            </w:r>
            <w:r w:rsidRPr="00B44C7D">
              <w:rPr>
                <w:snapToGrid/>
              </w:rPr>
              <w:t>ver 25 years of experience in higher education, managem</w:t>
            </w:r>
            <w:r>
              <w:rPr>
                <w:snapToGrid/>
              </w:rPr>
              <w:t xml:space="preserve">ent and the helping </w:t>
            </w:r>
            <w:r>
              <w:rPr>
                <w:snapToGrid/>
              </w:rPr>
              <w:lastRenderedPageBreak/>
              <w:t>professions.</w:t>
            </w:r>
          </w:p>
          <w:p w:rsidR="00B44C7D" w:rsidRDefault="00B44C7D" w:rsidP="00B44C7D">
            <w:pPr>
              <w:pStyle w:val="ListParagraph"/>
              <w:widowControl/>
              <w:numPr>
                <w:ilvl w:val="0"/>
                <w:numId w:val="9"/>
              </w:numPr>
              <w:rPr>
                <w:snapToGrid/>
              </w:rPr>
            </w:pPr>
            <w:r>
              <w:rPr>
                <w:snapToGrid/>
              </w:rPr>
              <w:t>H</w:t>
            </w:r>
            <w:r w:rsidRPr="00B44C7D">
              <w:rPr>
                <w:snapToGrid/>
              </w:rPr>
              <w:t xml:space="preserve">as worked with over 150 schools in 38 states, made presentations at state, regional, and national events, and consulted with business clients like 20th Century Fox, Wal-Mart, the University </w:t>
            </w:r>
            <w:r w:rsidR="007E73E4" w:rsidRPr="00B44C7D">
              <w:rPr>
                <w:snapToGrid/>
              </w:rPr>
              <w:t>of</w:t>
            </w:r>
            <w:r w:rsidRPr="00B44C7D">
              <w:rPr>
                <w:snapToGrid/>
              </w:rPr>
              <w:t xml:space="preserve"> Tennessee Hospital and the U.S. Army.  </w:t>
            </w:r>
          </w:p>
          <w:p w:rsidR="00B44C7D" w:rsidRPr="00B44C7D" w:rsidRDefault="00B44C7D" w:rsidP="00B44C7D">
            <w:pPr>
              <w:pStyle w:val="ListParagraph"/>
              <w:widowControl/>
              <w:numPr>
                <w:ilvl w:val="0"/>
                <w:numId w:val="9"/>
              </w:numPr>
              <w:rPr>
                <w:snapToGrid/>
              </w:rPr>
            </w:pPr>
            <w:r>
              <w:rPr>
                <w:snapToGrid/>
              </w:rPr>
              <w:t xml:space="preserve">Research and creates programs to improve educational services to Generation NeXT </w:t>
            </w:r>
            <w:r w:rsidR="007E73E4">
              <w:rPr>
                <w:snapToGrid/>
              </w:rPr>
              <w:t>(those</w:t>
            </w:r>
            <w:r>
              <w:rPr>
                <w:snapToGrid/>
              </w:rPr>
              <w:t xml:space="preserve"> up to 26 years old). </w:t>
            </w:r>
          </w:p>
          <w:p w:rsidR="0077040F" w:rsidRPr="002B5165" w:rsidRDefault="0077040F" w:rsidP="00273FCD"/>
        </w:tc>
      </w:tr>
      <w:tr w:rsidR="002A22C6" w:rsidRPr="002B5165" w:rsidTr="002A22C6">
        <w:trPr>
          <w:trHeight w:val="1448"/>
        </w:trPr>
        <w:tc>
          <w:tcPr>
            <w:tcW w:w="2642" w:type="dxa"/>
          </w:tcPr>
          <w:p w:rsidR="002A22C6" w:rsidRPr="002B5165" w:rsidRDefault="002A22C6" w:rsidP="002A22C6"/>
          <w:p w:rsidR="002A22C6" w:rsidRPr="002B5165" w:rsidRDefault="002A22C6" w:rsidP="00E375C5">
            <w:pPr>
              <w:jc w:val="center"/>
            </w:pPr>
            <w:r w:rsidRPr="002B5165">
              <w:t>Alfred Whitehead</w:t>
            </w:r>
          </w:p>
          <w:p w:rsidR="002A22C6" w:rsidRPr="002B5165" w:rsidRDefault="002A22C6" w:rsidP="00273FCD"/>
        </w:tc>
        <w:tc>
          <w:tcPr>
            <w:tcW w:w="4336" w:type="dxa"/>
          </w:tcPr>
          <w:p w:rsidR="00D534A5" w:rsidRPr="00D534A5" w:rsidRDefault="00D534A5" w:rsidP="00D534A5">
            <w:pPr>
              <w:pStyle w:val="NormalWeb"/>
              <w:rPr>
                <w:rFonts w:ascii="Times New Roman" w:hAnsi="Times New Roman"/>
                <w:color w:val="auto"/>
                <w:sz w:val="24"/>
                <w:szCs w:val="24"/>
              </w:rPr>
            </w:pPr>
            <w:r w:rsidRPr="00D534A5">
              <w:rPr>
                <w:rFonts w:ascii="Times New Roman" w:hAnsi="Times New Roman"/>
                <w:bCs/>
                <w:sz w:val="24"/>
                <w:szCs w:val="24"/>
              </w:rPr>
              <w:t xml:space="preserve">He was an English mathematician and philosopher.  </w:t>
            </w:r>
            <w:r>
              <w:rPr>
                <w:rFonts w:ascii="Times New Roman" w:hAnsi="Times New Roman"/>
                <w:bCs/>
                <w:sz w:val="24"/>
                <w:szCs w:val="24"/>
              </w:rPr>
              <w:t>C</w:t>
            </w:r>
            <w:r w:rsidRPr="00D534A5">
              <w:rPr>
                <w:rFonts w:ascii="Times New Roman" w:hAnsi="Times New Roman"/>
                <w:bCs/>
                <w:color w:val="auto"/>
                <w:sz w:val="24"/>
                <w:szCs w:val="24"/>
              </w:rPr>
              <w:t xml:space="preserve">ontributions to mathematics and logic, the philosophy of science, and the study of metaphysics. </w:t>
            </w:r>
          </w:p>
          <w:p w:rsidR="002A22C6" w:rsidRPr="00D534A5" w:rsidRDefault="002A22C6" w:rsidP="00273FCD"/>
        </w:tc>
        <w:tc>
          <w:tcPr>
            <w:tcW w:w="2573" w:type="dxa"/>
          </w:tcPr>
          <w:p w:rsidR="00E5558C" w:rsidRPr="00E5558C" w:rsidRDefault="00D534A5" w:rsidP="00D534A5">
            <w:pPr>
              <w:pStyle w:val="ListParagraph"/>
              <w:numPr>
                <w:ilvl w:val="0"/>
                <w:numId w:val="4"/>
              </w:numPr>
            </w:pPr>
            <w:r>
              <w:rPr>
                <w:bCs/>
              </w:rPr>
              <w:t>E</w:t>
            </w:r>
            <w:r w:rsidRPr="00D534A5">
              <w:rPr>
                <w:bCs/>
              </w:rPr>
              <w:t xml:space="preserve">xtended the range of algebraic procedures and, in collaboration with Bertrand Russell, wrote </w:t>
            </w:r>
            <w:r w:rsidRPr="00D534A5">
              <w:rPr>
                <w:bCs/>
                <w:i/>
                <w:iCs/>
              </w:rPr>
              <w:t xml:space="preserve">Principia Mathematica </w:t>
            </w:r>
            <w:r w:rsidRPr="00D534A5">
              <w:rPr>
                <w:bCs/>
              </w:rPr>
              <w:t xml:space="preserve">(3 vol., 1910–13), a landmark in the study of logic. </w:t>
            </w:r>
          </w:p>
          <w:p w:rsidR="00E5558C" w:rsidRPr="00E5558C" w:rsidRDefault="00E5558C" w:rsidP="00E5558C">
            <w:pPr>
              <w:pStyle w:val="ListParagraph"/>
              <w:numPr>
                <w:ilvl w:val="0"/>
                <w:numId w:val="4"/>
              </w:numPr>
            </w:pPr>
            <w:r>
              <w:rPr>
                <w:bCs/>
              </w:rPr>
              <w:t>Inquired</w:t>
            </w:r>
            <w:r w:rsidR="00D534A5" w:rsidRPr="00D534A5">
              <w:rPr>
                <w:bCs/>
              </w:rPr>
              <w:t xml:space="preserve"> into the structure of science</w:t>
            </w:r>
            <w:r>
              <w:rPr>
                <w:bCs/>
              </w:rPr>
              <w:t xml:space="preserve"> and</w:t>
            </w:r>
            <w:r w:rsidR="00D534A5" w:rsidRPr="00D534A5">
              <w:rPr>
                <w:bCs/>
              </w:rPr>
              <w:t xml:space="preserve"> provided the background for metaphysical writings. </w:t>
            </w:r>
          </w:p>
          <w:p w:rsidR="002A22C6" w:rsidRPr="002B5165" w:rsidRDefault="00D534A5" w:rsidP="00E5558C">
            <w:pPr>
              <w:pStyle w:val="ListParagraph"/>
              <w:numPr>
                <w:ilvl w:val="0"/>
                <w:numId w:val="4"/>
              </w:numPr>
            </w:pPr>
            <w:r w:rsidRPr="00D534A5">
              <w:rPr>
                <w:bCs/>
              </w:rPr>
              <w:lastRenderedPageBreak/>
              <w:t>He criticized traditional categories of philosophy for their failure to convey the essential interrelation of matter, space, and time.</w:t>
            </w:r>
          </w:p>
        </w:tc>
      </w:tr>
    </w:tbl>
    <w:p w:rsidR="0077040F" w:rsidRPr="002B5165" w:rsidRDefault="0077040F" w:rsidP="0077040F"/>
    <w:p w:rsidR="0077040F" w:rsidRDefault="0077040F"/>
    <w:sectPr w:rsidR="0077040F" w:rsidSect="00DE33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B8C"/>
    <w:multiLevelType w:val="multilevel"/>
    <w:tmpl w:val="BA5C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A7CD4"/>
    <w:multiLevelType w:val="hybridMultilevel"/>
    <w:tmpl w:val="5224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47D9D"/>
    <w:multiLevelType w:val="hybridMultilevel"/>
    <w:tmpl w:val="7E2A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90BB4"/>
    <w:multiLevelType w:val="hybridMultilevel"/>
    <w:tmpl w:val="722A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A6872"/>
    <w:multiLevelType w:val="hybridMultilevel"/>
    <w:tmpl w:val="4E98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A3AA3"/>
    <w:multiLevelType w:val="hybridMultilevel"/>
    <w:tmpl w:val="950E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1072F"/>
    <w:multiLevelType w:val="hybridMultilevel"/>
    <w:tmpl w:val="B01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B03E9"/>
    <w:multiLevelType w:val="hybridMultilevel"/>
    <w:tmpl w:val="77DE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F08F4"/>
    <w:multiLevelType w:val="multilevel"/>
    <w:tmpl w:val="3C4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A48F3"/>
    <w:multiLevelType w:val="hybridMultilevel"/>
    <w:tmpl w:val="1A3A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1"/>
  </w:num>
  <w:num w:numId="6">
    <w:abstractNumId w:val="5"/>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C61C78"/>
    <w:rsid w:val="000304E3"/>
    <w:rsid w:val="00066AAB"/>
    <w:rsid w:val="00083155"/>
    <w:rsid w:val="000B3AC2"/>
    <w:rsid w:val="000B6F6C"/>
    <w:rsid w:val="001D1BDA"/>
    <w:rsid w:val="001E3DF9"/>
    <w:rsid w:val="001F26FE"/>
    <w:rsid w:val="0020190D"/>
    <w:rsid w:val="00251CC5"/>
    <w:rsid w:val="002A22C6"/>
    <w:rsid w:val="002A4A4B"/>
    <w:rsid w:val="002B5165"/>
    <w:rsid w:val="002D40C3"/>
    <w:rsid w:val="00510B49"/>
    <w:rsid w:val="00527F08"/>
    <w:rsid w:val="00621CF6"/>
    <w:rsid w:val="0072199F"/>
    <w:rsid w:val="00726B2A"/>
    <w:rsid w:val="00765E97"/>
    <w:rsid w:val="0077040F"/>
    <w:rsid w:val="007E73E4"/>
    <w:rsid w:val="007F00BC"/>
    <w:rsid w:val="00964E1A"/>
    <w:rsid w:val="00992F5C"/>
    <w:rsid w:val="00B44C7D"/>
    <w:rsid w:val="00B97949"/>
    <w:rsid w:val="00BE7B77"/>
    <w:rsid w:val="00BF4F6E"/>
    <w:rsid w:val="00C61C78"/>
    <w:rsid w:val="00D24E15"/>
    <w:rsid w:val="00D3439F"/>
    <w:rsid w:val="00D534A5"/>
    <w:rsid w:val="00D94190"/>
    <w:rsid w:val="00DE335C"/>
    <w:rsid w:val="00E375C5"/>
    <w:rsid w:val="00E5558C"/>
    <w:rsid w:val="00E60E83"/>
    <w:rsid w:val="00E61AF3"/>
    <w:rsid w:val="00ED17BC"/>
    <w:rsid w:val="00F728BE"/>
    <w:rsid w:val="00FF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78"/>
    <w:pPr>
      <w:widowControl w:val="0"/>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77"/>
    <w:pPr>
      <w:ind w:left="720"/>
      <w:contextualSpacing/>
    </w:pPr>
  </w:style>
  <w:style w:type="character" w:styleId="Hyperlink">
    <w:name w:val="Hyperlink"/>
    <w:basedOn w:val="DefaultParagraphFont"/>
    <w:uiPriority w:val="99"/>
    <w:unhideWhenUsed/>
    <w:rsid w:val="001F26FE"/>
    <w:rPr>
      <w:color w:val="0000FF"/>
      <w:u w:val="single"/>
    </w:rPr>
  </w:style>
  <w:style w:type="paragraph" w:styleId="NormalWeb">
    <w:name w:val="Normal (Web)"/>
    <w:basedOn w:val="Normal"/>
    <w:uiPriority w:val="99"/>
    <w:unhideWhenUsed/>
    <w:rsid w:val="000304E3"/>
    <w:pPr>
      <w:widowControl/>
      <w:spacing w:before="100" w:beforeAutospacing="1" w:after="100" w:afterAutospacing="1"/>
    </w:pPr>
    <w:rPr>
      <w:rFonts w:ascii="Verdana" w:hAnsi="Verdana"/>
      <w:snapToGrid/>
      <w:color w:val="000000"/>
      <w:sz w:val="18"/>
      <w:szCs w:val="18"/>
    </w:rPr>
  </w:style>
  <w:style w:type="character" w:customStyle="1" w:styleId="book1">
    <w:name w:val="book1"/>
    <w:basedOn w:val="DefaultParagraphFont"/>
    <w:rsid w:val="0020190D"/>
    <w:rPr>
      <w:rFonts w:ascii="Times New Roman" w:hAnsi="Times New Roman" w:cs="Times New Roman" w:hint="default"/>
      <w:i/>
      <w:iCs/>
      <w:sz w:val="21"/>
      <w:szCs w:val="21"/>
    </w:rPr>
  </w:style>
  <w:style w:type="paragraph" w:styleId="BodyTextIndent">
    <w:name w:val="Body Text Indent"/>
    <w:basedOn w:val="Normal"/>
    <w:link w:val="BodyTextIndentChar"/>
    <w:uiPriority w:val="99"/>
    <w:unhideWhenUsed/>
    <w:rsid w:val="00B44C7D"/>
    <w:pPr>
      <w:widowControl/>
      <w:spacing w:before="100" w:beforeAutospacing="1" w:after="100" w:afterAutospacing="1"/>
    </w:pPr>
    <w:rPr>
      <w:snapToGrid/>
    </w:rPr>
  </w:style>
  <w:style w:type="character" w:customStyle="1" w:styleId="BodyTextIndentChar">
    <w:name w:val="Body Text Indent Char"/>
    <w:basedOn w:val="DefaultParagraphFont"/>
    <w:link w:val="BodyTextIndent"/>
    <w:uiPriority w:val="99"/>
    <w:rsid w:val="00B44C7D"/>
    <w:rPr>
      <w:sz w:val="24"/>
      <w:szCs w:val="24"/>
    </w:rPr>
  </w:style>
</w:styles>
</file>

<file path=word/webSettings.xml><?xml version="1.0" encoding="utf-8"?>
<w:webSettings xmlns:r="http://schemas.openxmlformats.org/officeDocument/2006/relationships" xmlns:w="http://schemas.openxmlformats.org/wordprocessingml/2006/main">
  <w:divs>
    <w:div w:id="20790059">
      <w:bodyDiv w:val="1"/>
      <w:marLeft w:val="0"/>
      <w:marRight w:val="0"/>
      <w:marTop w:val="0"/>
      <w:marBottom w:val="0"/>
      <w:divBdr>
        <w:top w:val="none" w:sz="0" w:space="0" w:color="auto"/>
        <w:left w:val="none" w:sz="0" w:space="0" w:color="auto"/>
        <w:bottom w:val="none" w:sz="0" w:space="0" w:color="auto"/>
        <w:right w:val="none" w:sz="0" w:space="0" w:color="auto"/>
      </w:divBdr>
    </w:div>
    <w:div w:id="1141114251">
      <w:bodyDiv w:val="1"/>
      <w:marLeft w:val="0"/>
      <w:marRight w:val="0"/>
      <w:marTop w:val="0"/>
      <w:marBottom w:val="0"/>
      <w:divBdr>
        <w:top w:val="none" w:sz="0" w:space="0" w:color="auto"/>
        <w:left w:val="none" w:sz="0" w:space="0" w:color="auto"/>
        <w:bottom w:val="none" w:sz="0" w:space="0" w:color="auto"/>
        <w:right w:val="none" w:sz="0" w:space="0" w:color="auto"/>
      </w:divBdr>
      <w:divsChild>
        <w:div w:id="878081334">
          <w:marLeft w:val="0"/>
          <w:marRight w:val="0"/>
          <w:marTop w:val="0"/>
          <w:marBottom w:val="0"/>
          <w:divBdr>
            <w:top w:val="none" w:sz="0" w:space="0" w:color="auto"/>
            <w:left w:val="none" w:sz="0" w:space="0" w:color="auto"/>
            <w:bottom w:val="none" w:sz="0" w:space="0" w:color="auto"/>
            <w:right w:val="none" w:sz="0" w:space="0" w:color="auto"/>
          </w:divBdr>
          <w:divsChild>
            <w:div w:id="240604077">
              <w:marLeft w:val="0"/>
              <w:marRight w:val="0"/>
              <w:marTop w:val="0"/>
              <w:marBottom w:val="0"/>
              <w:divBdr>
                <w:top w:val="none" w:sz="0" w:space="0" w:color="auto"/>
                <w:left w:val="none" w:sz="0" w:space="0" w:color="auto"/>
                <w:bottom w:val="none" w:sz="0" w:space="0" w:color="auto"/>
                <w:right w:val="none" w:sz="0" w:space="0" w:color="auto"/>
              </w:divBdr>
              <w:divsChild>
                <w:div w:id="535312578">
                  <w:marLeft w:val="0"/>
                  <w:marRight w:val="0"/>
                  <w:marTop w:val="0"/>
                  <w:marBottom w:val="0"/>
                  <w:divBdr>
                    <w:top w:val="none" w:sz="0" w:space="0" w:color="auto"/>
                    <w:left w:val="none" w:sz="0" w:space="0" w:color="auto"/>
                    <w:bottom w:val="none" w:sz="0" w:space="0" w:color="auto"/>
                    <w:right w:val="none" w:sz="0" w:space="0" w:color="auto"/>
                  </w:divBdr>
                  <w:divsChild>
                    <w:div w:id="914974318">
                      <w:marLeft w:val="0"/>
                      <w:marRight w:val="0"/>
                      <w:marTop w:val="0"/>
                      <w:marBottom w:val="0"/>
                      <w:divBdr>
                        <w:top w:val="none" w:sz="0" w:space="0" w:color="auto"/>
                        <w:left w:val="none" w:sz="0" w:space="0" w:color="auto"/>
                        <w:bottom w:val="none" w:sz="0" w:space="0" w:color="auto"/>
                        <w:right w:val="none" w:sz="0" w:space="0" w:color="auto"/>
                      </w:divBdr>
                      <w:divsChild>
                        <w:div w:id="1133596862">
                          <w:marLeft w:val="0"/>
                          <w:marRight w:val="0"/>
                          <w:marTop w:val="0"/>
                          <w:marBottom w:val="0"/>
                          <w:divBdr>
                            <w:top w:val="none" w:sz="0" w:space="0" w:color="auto"/>
                            <w:left w:val="none" w:sz="0" w:space="0" w:color="auto"/>
                            <w:bottom w:val="none" w:sz="0" w:space="0" w:color="auto"/>
                            <w:right w:val="none" w:sz="0" w:space="0" w:color="auto"/>
                          </w:divBdr>
                          <w:divsChild>
                            <w:div w:id="1210722575">
                              <w:marLeft w:val="0"/>
                              <w:marRight w:val="0"/>
                              <w:marTop w:val="0"/>
                              <w:marBottom w:val="0"/>
                              <w:divBdr>
                                <w:top w:val="none" w:sz="0" w:space="0" w:color="auto"/>
                                <w:left w:val="none" w:sz="0" w:space="0" w:color="auto"/>
                                <w:bottom w:val="none" w:sz="0" w:space="0" w:color="auto"/>
                                <w:right w:val="none" w:sz="0" w:space="0" w:color="auto"/>
                              </w:divBdr>
                              <w:divsChild>
                                <w:div w:id="18394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3724">
      <w:bodyDiv w:val="1"/>
      <w:marLeft w:val="0"/>
      <w:marRight w:val="0"/>
      <w:marTop w:val="0"/>
      <w:marBottom w:val="0"/>
      <w:divBdr>
        <w:top w:val="none" w:sz="0" w:space="0" w:color="auto"/>
        <w:left w:val="none" w:sz="0" w:space="0" w:color="auto"/>
        <w:bottom w:val="none" w:sz="0" w:space="0" w:color="auto"/>
        <w:right w:val="none" w:sz="0" w:space="0" w:color="auto"/>
      </w:divBdr>
      <w:divsChild>
        <w:div w:id="295379763">
          <w:marLeft w:val="0"/>
          <w:marRight w:val="0"/>
          <w:marTop w:val="0"/>
          <w:marBottom w:val="0"/>
          <w:divBdr>
            <w:top w:val="none" w:sz="0" w:space="0" w:color="auto"/>
            <w:left w:val="none" w:sz="0" w:space="0" w:color="auto"/>
            <w:bottom w:val="none" w:sz="0" w:space="0" w:color="auto"/>
            <w:right w:val="none" w:sz="0" w:space="0" w:color="auto"/>
          </w:divBdr>
          <w:divsChild>
            <w:div w:id="817185687">
              <w:marLeft w:val="0"/>
              <w:marRight w:val="0"/>
              <w:marTop w:val="0"/>
              <w:marBottom w:val="0"/>
              <w:divBdr>
                <w:top w:val="none" w:sz="0" w:space="0" w:color="auto"/>
                <w:left w:val="none" w:sz="0" w:space="0" w:color="auto"/>
                <w:bottom w:val="none" w:sz="0" w:space="0" w:color="auto"/>
                <w:right w:val="none" w:sz="0" w:space="0" w:color="auto"/>
              </w:divBdr>
              <w:divsChild>
                <w:div w:id="1938709348">
                  <w:marLeft w:val="0"/>
                  <w:marRight w:val="0"/>
                  <w:marTop w:val="0"/>
                  <w:marBottom w:val="0"/>
                  <w:divBdr>
                    <w:top w:val="none" w:sz="0" w:space="0" w:color="auto"/>
                    <w:left w:val="none" w:sz="0" w:space="0" w:color="auto"/>
                    <w:bottom w:val="none" w:sz="0" w:space="0" w:color="auto"/>
                    <w:right w:val="none" w:sz="0" w:space="0" w:color="auto"/>
                  </w:divBdr>
                  <w:divsChild>
                    <w:div w:id="366416927">
                      <w:marLeft w:val="0"/>
                      <w:marRight w:val="0"/>
                      <w:marTop w:val="0"/>
                      <w:marBottom w:val="0"/>
                      <w:divBdr>
                        <w:top w:val="none" w:sz="0" w:space="0" w:color="auto"/>
                        <w:left w:val="none" w:sz="0" w:space="0" w:color="auto"/>
                        <w:bottom w:val="none" w:sz="0" w:space="0" w:color="auto"/>
                        <w:right w:val="none" w:sz="0" w:space="0" w:color="auto"/>
                      </w:divBdr>
                      <w:divsChild>
                        <w:div w:id="1101729767">
                          <w:marLeft w:val="0"/>
                          <w:marRight w:val="0"/>
                          <w:marTop w:val="0"/>
                          <w:marBottom w:val="0"/>
                          <w:divBdr>
                            <w:top w:val="none" w:sz="0" w:space="0" w:color="auto"/>
                            <w:left w:val="none" w:sz="0" w:space="0" w:color="auto"/>
                            <w:bottom w:val="none" w:sz="0" w:space="0" w:color="auto"/>
                            <w:right w:val="none" w:sz="0" w:space="0" w:color="auto"/>
                          </w:divBdr>
                          <w:divsChild>
                            <w:div w:id="1853716597">
                              <w:marLeft w:val="0"/>
                              <w:marRight w:val="0"/>
                              <w:marTop w:val="0"/>
                              <w:marBottom w:val="0"/>
                              <w:divBdr>
                                <w:top w:val="none" w:sz="0" w:space="0" w:color="auto"/>
                                <w:left w:val="none" w:sz="0" w:space="0" w:color="auto"/>
                                <w:bottom w:val="none" w:sz="0" w:space="0" w:color="auto"/>
                                <w:right w:val="none" w:sz="0" w:space="0" w:color="auto"/>
                              </w:divBdr>
                              <w:divsChild>
                                <w:div w:id="1176505374">
                                  <w:marLeft w:val="0"/>
                                  <w:marRight w:val="0"/>
                                  <w:marTop w:val="0"/>
                                  <w:marBottom w:val="0"/>
                                  <w:divBdr>
                                    <w:top w:val="none" w:sz="0" w:space="0" w:color="auto"/>
                                    <w:left w:val="none" w:sz="0" w:space="0" w:color="auto"/>
                                    <w:bottom w:val="none" w:sz="0" w:space="0" w:color="auto"/>
                                    <w:right w:val="none" w:sz="0" w:space="0" w:color="auto"/>
                                  </w:divBdr>
                                  <w:divsChild>
                                    <w:div w:id="117044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44547">
      <w:bodyDiv w:val="1"/>
      <w:marLeft w:val="0"/>
      <w:marRight w:val="0"/>
      <w:marTop w:val="0"/>
      <w:marBottom w:val="0"/>
      <w:divBdr>
        <w:top w:val="none" w:sz="0" w:space="0" w:color="auto"/>
        <w:left w:val="none" w:sz="0" w:space="0" w:color="auto"/>
        <w:bottom w:val="none" w:sz="0" w:space="0" w:color="auto"/>
        <w:right w:val="none" w:sz="0" w:space="0" w:color="auto"/>
      </w:divBdr>
      <w:divsChild>
        <w:div w:id="486243873">
          <w:marLeft w:val="0"/>
          <w:marRight w:val="0"/>
          <w:marTop w:val="0"/>
          <w:marBottom w:val="0"/>
          <w:divBdr>
            <w:top w:val="none" w:sz="0" w:space="0" w:color="auto"/>
            <w:left w:val="none" w:sz="0" w:space="0" w:color="auto"/>
            <w:bottom w:val="none" w:sz="0" w:space="0" w:color="auto"/>
            <w:right w:val="none" w:sz="0" w:space="0" w:color="auto"/>
          </w:divBdr>
          <w:divsChild>
            <w:div w:id="2119832031">
              <w:marLeft w:val="0"/>
              <w:marRight w:val="0"/>
              <w:marTop w:val="0"/>
              <w:marBottom w:val="0"/>
              <w:divBdr>
                <w:top w:val="none" w:sz="0" w:space="0" w:color="auto"/>
                <w:left w:val="none" w:sz="0" w:space="0" w:color="auto"/>
                <w:bottom w:val="none" w:sz="0" w:space="0" w:color="auto"/>
                <w:right w:val="none" w:sz="0" w:space="0" w:color="auto"/>
              </w:divBdr>
              <w:divsChild>
                <w:div w:id="1759013855">
                  <w:marLeft w:val="0"/>
                  <w:marRight w:val="0"/>
                  <w:marTop w:val="0"/>
                  <w:marBottom w:val="0"/>
                  <w:divBdr>
                    <w:top w:val="none" w:sz="0" w:space="0" w:color="auto"/>
                    <w:left w:val="none" w:sz="0" w:space="0" w:color="auto"/>
                    <w:bottom w:val="none" w:sz="0" w:space="0" w:color="auto"/>
                    <w:right w:val="none" w:sz="0" w:space="0" w:color="auto"/>
                  </w:divBdr>
                  <w:divsChild>
                    <w:div w:id="52780728">
                      <w:marLeft w:val="0"/>
                      <w:marRight w:val="0"/>
                      <w:marTop w:val="0"/>
                      <w:marBottom w:val="0"/>
                      <w:divBdr>
                        <w:top w:val="none" w:sz="0" w:space="0" w:color="auto"/>
                        <w:left w:val="none" w:sz="0" w:space="0" w:color="auto"/>
                        <w:bottom w:val="none" w:sz="0" w:space="0" w:color="auto"/>
                        <w:right w:val="none" w:sz="0" w:space="0" w:color="auto"/>
                      </w:divBdr>
                      <w:divsChild>
                        <w:div w:id="194387747">
                          <w:marLeft w:val="0"/>
                          <w:marRight w:val="0"/>
                          <w:marTop w:val="0"/>
                          <w:marBottom w:val="0"/>
                          <w:divBdr>
                            <w:top w:val="none" w:sz="0" w:space="0" w:color="auto"/>
                            <w:left w:val="none" w:sz="0" w:space="0" w:color="auto"/>
                            <w:bottom w:val="none" w:sz="0" w:space="0" w:color="auto"/>
                            <w:right w:val="none" w:sz="0" w:space="0" w:color="auto"/>
                          </w:divBdr>
                          <w:divsChild>
                            <w:div w:id="636497970">
                              <w:marLeft w:val="0"/>
                              <w:marRight w:val="0"/>
                              <w:marTop w:val="0"/>
                              <w:marBottom w:val="0"/>
                              <w:divBdr>
                                <w:top w:val="none" w:sz="0" w:space="0" w:color="auto"/>
                                <w:left w:val="none" w:sz="0" w:space="0" w:color="auto"/>
                                <w:bottom w:val="none" w:sz="0" w:space="0" w:color="auto"/>
                                <w:right w:val="none" w:sz="0" w:space="0" w:color="auto"/>
                              </w:divBdr>
                              <w:divsChild>
                                <w:div w:id="1253855779">
                                  <w:marLeft w:val="0"/>
                                  <w:marRight w:val="0"/>
                                  <w:marTop w:val="0"/>
                                  <w:marBottom w:val="0"/>
                                  <w:divBdr>
                                    <w:top w:val="none" w:sz="0" w:space="0" w:color="auto"/>
                                    <w:left w:val="none" w:sz="0" w:space="0" w:color="auto"/>
                                    <w:bottom w:val="none" w:sz="0" w:space="0" w:color="auto"/>
                                    <w:right w:val="none" w:sz="0" w:space="0" w:color="auto"/>
                                  </w:divBdr>
                                  <w:divsChild>
                                    <w:div w:id="25744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825</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maford</cp:lastModifiedBy>
  <cp:revision>38</cp:revision>
  <dcterms:created xsi:type="dcterms:W3CDTF">2009-04-03T19:55:00Z</dcterms:created>
  <dcterms:modified xsi:type="dcterms:W3CDTF">2009-04-28T17:00:00Z</dcterms:modified>
</cp:coreProperties>
</file>